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5F" w:rsidRPr="00C03DDB" w:rsidRDefault="0015385F" w:rsidP="00C03DDB">
      <w:pPr>
        <w:spacing w:before="360" w:after="360"/>
        <w:jc w:val="center"/>
        <w:rPr>
          <w:rFonts w:ascii="Script MT Bold" w:hAnsi="Script MT Bold"/>
          <w:sz w:val="40"/>
          <w:szCs w:val="40"/>
        </w:rPr>
      </w:pPr>
      <w:r w:rsidRPr="00C03DDB">
        <w:rPr>
          <w:rFonts w:ascii="Script MT Bold" w:hAnsi="Script MT Bold"/>
          <w:sz w:val="40"/>
          <w:szCs w:val="40"/>
        </w:rPr>
        <w:t>Melegítsük be!</w:t>
      </w:r>
    </w:p>
    <w:p w:rsidR="00C03DDB" w:rsidRDefault="00C03DDB">
      <w:pPr>
        <w:sectPr w:rsidR="00C03DDB" w:rsidSect="0013253F">
          <w:headerReference w:type="default" r:id="rId7"/>
          <w:pgSz w:w="11907" w:h="16840"/>
          <w:pgMar w:top="992" w:right="1418" w:bottom="1418" w:left="1418" w:header="709" w:footer="709" w:gutter="567"/>
          <w:cols w:space="709"/>
        </w:sectPr>
      </w:pPr>
    </w:p>
    <w:p w:rsidR="00C03DDB" w:rsidRDefault="00C03DDB"/>
    <w:p w:rsidR="00C03DDB" w:rsidRDefault="00C03DDB">
      <w:pPr>
        <w:sectPr w:rsidR="00C03DDB" w:rsidSect="0013253F">
          <w:type w:val="continuous"/>
          <w:pgSz w:w="11907" w:h="16840"/>
          <w:pgMar w:top="1134" w:right="1134" w:bottom="1134" w:left="1134" w:header="709" w:footer="709" w:gutter="851"/>
          <w:cols w:num="2" w:sep="1" w:space="709"/>
        </w:sectPr>
      </w:pPr>
    </w:p>
    <w:p w:rsidR="00C03DDB" w:rsidRDefault="00C03DDB"/>
    <w:p w:rsidR="00CB5824" w:rsidRPr="00CA0A3A" w:rsidRDefault="00CB5824" w:rsidP="00CB5824">
      <w:pPr>
        <w:keepNext/>
        <w:framePr w:dropCap="drop" w:lines="2" w:hSpace="57" w:wrap="around" w:vAnchor="text" w:hAnchor="text"/>
        <w:spacing w:line="459" w:lineRule="exact"/>
        <w:jc w:val="both"/>
        <w:textAlignment w:val="baseline"/>
        <w:rPr>
          <w:b/>
          <w:noProof/>
          <w:position w:val="-5"/>
          <w:sz w:val="57"/>
        </w:rPr>
      </w:pPr>
      <w:r w:rsidRPr="00CA0A3A">
        <w:rPr>
          <w:b/>
          <w:position w:val="-5"/>
          <w:sz w:val="57"/>
        </w:rPr>
        <w:t>A</w:t>
      </w:r>
    </w:p>
    <w:p w:rsidR="00CB5824" w:rsidRDefault="00CB5824" w:rsidP="00CB5824">
      <w:pPr>
        <w:jc w:val="both"/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635</wp:posOffset>
            </wp:positionV>
            <wp:extent cx="2099310" cy="1441450"/>
            <wp:effectExtent l="57150" t="38100" r="34290" b="25400"/>
            <wp:wrapTight wrapText="bothSides">
              <wp:wrapPolygon edited="0">
                <wp:start x="-588" y="-571"/>
                <wp:lineTo x="-588" y="21981"/>
                <wp:lineTo x="21953" y="21981"/>
                <wp:lineTo x="21953" y="-571"/>
                <wp:lineTo x="-588" y="-571"/>
              </wp:wrapPolygon>
            </wp:wrapTight>
            <wp:docPr id="3" name="Kép 5" descr="si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i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44145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</w:t>
      </w:r>
      <w:r w:rsidRPr="00C03DDB">
        <w:rPr>
          <w:b/>
          <w:u w:val="single"/>
        </w:rPr>
        <w:t>vicc</w:t>
      </w:r>
      <w:r>
        <w:t xml:space="preserve"> szerint a tengerparti nyaralásról hazaérkezőket barnára sült bőrükről ismerjük meg, a téli sportolásból visszatérőket pedig arról, hogy különféle testrészeiken géz- és gipszkötést viselnek. </w:t>
      </w:r>
    </w:p>
    <w:p w:rsidR="00CB5824" w:rsidRPr="00CA0A3A" w:rsidRDefault="00CB5824" w:rsidP="00CB5824">
      <w:pPr>
        <w:keepNext/>
        <w:framePr w:dropCap="drop" w:lines="2" w:hSpace="57" w:wrap="around" w:vAnchor="text" w:hAnchor="text"/>
        <w:spacing w:line="459" w:lineRule="exact"/>
        <w:jc w:val="both"/>
        <w:textAlignment w:val="baseline"/>
        <w:rPr>
          <w:b/>
          <w:position w:val="-5"/>
          <w:sz w:val="57"/>
        </w:rPr>
      </w:pPr>
      <w:r w:rsidRPr="00CA0A3A">
        <w:rPr>
          <w:b/>
          <w:position w:val="-5"/>
          <w:sz w:val="57"/>
        </w:rPr>
        <w:t>A</w:t>
      </w:r>
    </w:p>
    <w:p w:rsidR="00CB5824" w:rsidRDefault="00CB5824" w:rsidP="00CB5824">
      <w:pPr>
        <w:jc w:val="both"/>
      </w:pPr>
      <w:r>
        <w:t xml:space="preserve"> téli sportok és köztük a síelés különféle formái nálunk is mind népszerűbbek, de sokan valóban csak első napokat töltik a hegyekben, a többit gipszben. </w:t>
      </w:r>
    </w:p>
    <w:p w:rsidR="00CB5824" w:rsidRPr="00CA0A3A" w:rsidRDefault="00CB5824" w:rsidP="00CB5824">
      <w:pPr>
        <w:keepNext/>
        <w:framePr w:dropCap="drop" w:lines="2" w:hSpace="57" w:wrap="around" w:vAnchor="text" w:hAnchor="text"/>
        <w:spacing w:line="459" w:lineRule="exact"/>
        <w:jc w:val="both"/>
        <w:textAlignment w:val="baseline"/>
        <w:rPr>
          <w:b/>
          <w:position w:val="-5"/>
          <w:sz w:val="57"/>
        </w:rPr>
      </w:pPr>
      <w:r w:rsidRPr="00CA0A3A">
        <w:rPr>
          <w:b/>
          <w:position w:val="-5"/>
          <w:sz w:val="57"/>
        </w:rPr>
        <w:t>A</w:t>
      </w:r>
    </w:p>
    <w:p w:rsidR="00CB5824" w:rsidRDefault="00CB5824" w:rsidP="00CB5824">
      <w:pPr>
        <w:jc w:val="both"/>
      </w:pPr>
      <w:r>
        <w:t>z orvosok szerint a sérülések többsége elkerülhető volna, ha a síelők nem felkészületlenül vágnának neki a lejtőknek.</w:t>
      </w:r>
    </w:p>
    <w:p w:rsidR="00C03DDB" w:rsidRDefault="00C03DDB"/>
    <w:p w:rsidR="0015385F" w:rsidRPr="00CA0A3A" w:rsidRDefault="0015385F" w:rsidP="00CA0A3A">
      <w:pPr>
        <w:pBdr>
          <w:top w:val="single" w:sz="18" w:space="1" w:color="000000" w:themeColor="text1" w:shadow="1"/>
          <w:left w:val="single" w:sz="18" w:space="4" w:color="000000" w:themeColor="text1" w:shadow="1"/>
          <w:bottom w:val="single" w:sz="18" w:space="1" w:color="000000" w:themeColor="text1" w:shadow="1"/>
          <w:right w:val="single" w:sz="18" w:space="4" w:color="000000" w:themeColor="text1" w:shadow="1"/>
        </w:pBdr>
        <w:shd w:val="clear" w:color="auto" w:fill="BFBFBF" w:themeFill="background1" w:themeFillShade="BF"/>
        <w:jc w:val="center"/>
        <w:rPr>
          <w:sz w:val="24"/>
        </w:rPr>
      </w:pPr>
      <w:r w:rsidRPr="00CA0A3A">
        <w:rPr>
          <w:sz w:val="24"/>
        </w:rPr>
        <w:t xml:space="preserve">A következő szabályokat a Nemzetközi </w:t>
      </w:r>
      <w:proofErr w:type="spellStart"/>
      <w:r w:rsidRPr="00CA0A3A">
        <w:rPr>
          <w:sz w:val="24"/>
        </w:rPr>
        <w:t>Síszövetség</w:t>
      </w:r>
      <w:proofErr w:type="spellEnd"/>
      <w:r w:rsidRPr="00CA0A3A">
        <w:rPr>
          <w:sz w:val="24"/>
        </w:rPr>
        <w:t xml:space="preserve"> szabta meg, hogy biztonságosabbá tegyék a gyakran zsúfolt pályákat.</w:t>
      </w:r>
    </w:p>
    <w:p w:rsidR="0015385F" w:rsidRPr="00510B95" w:rsidRDefault="0015385F" w:rsidP="00510B95">
      <w:pPr>
        <w:numPr>
          <w:ilvl w:val="0"/>
          <w:numId w:val="1"/>
        </w:numPr>
        <w:spacing w:before="240"/>
        <w:ind w:left="714" w:hanging="357"/>
        <w:rPr>
          <w:sz w:val="32"/>
          <w:szCs w:val="32"/>
        </w:rPr>
      </w:pPr>
      <w:r w:rsidRPr="00510B95">
        <w:rPr>
          <w:sz w:val="32"/>
          <w:szCs w:val="32"/>
        </w:rPr>
        <w:t>Senki testi épségét ne veszélyeztessük vagy ne károsítsuk!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Síelésünk nyomvonalát és sebességét tudásunknak és a pályaviszonyoknak megfelelően válasszuk meg!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Vegyük figyelembe az előttünk haladó nyomvonalát!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Csak megfelelő távolságot tartva előzhetünk!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Indulás és keresztező mozgás előtt nézzünk felfelé is! Ez azonban nem jelenti azt, hogy a felülről érkezőknek előnye van.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Csak a pálya szélén vagy jól áttekinthető helyen álljunk meg!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Gyalogosan csak a pálya szélén haladjunk!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Vegyük figyelembe a jelzéseket!</w:t>
      </w:r>
    </w:p>
    <w:p w:rsidR="0015385F" w:rsidRP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Baleset esetén nyújtsunk elsősegélyt, értesítsük a mentőket.</w:t>
      </w:r>
    </w:p>
    <w:p w:rsidR="00510B95" w:rsidRDefault="0015385F" w:rsidP="00510B95">
      <w:pPr>
        <w:numPr>
          <w:ilvl w:val="0"/>
          <w:numId w:val="1"/>
        </w:numPr>
        <w:rPr>
          <w:sz w:val="32"/>
          <w:szCs w:val="32"/>
        </w:rPr>
      </w:pPr>
      <w:r w:rsidRPr="00510B95">
        <w:rPr>
          <w:sz w:val="32"/>
          <w:szCs w:val="32"/>
        </w:rPr>
        <w:t>A baleset tanúinak meg kell adniuk személyi adataikat.</w:t>
      </w:r>
    </w:p>
    <w:p w:rsidR="00510B95" w:rsidRDefault="00510B95" w:rsidP="00510B95">
      <w:pPr>
        <w:ind w:left="72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15385F" w:rsidRPr="00510B95" w:rsidRDefault="00B93D18" w:rsidP="00510B95">
      <w:pPr>
        <w:ind w:left="720"/>
        <w:rPr>
          <w:sz w:val="32"/>
          <w:szCs w:val="32"/>
        </w:rPr>
      </w:pPr>
      <w:r>
        <w:rPr>
          <w:noProof/>
          <w:sz w:val="32"/>
          <w:szCs w:val="32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0;margin-top:0;width:256.6pt;height:59.25pt;z-index:251662336;mso-wrap-style:none;mso-position-horizontal:center;mso-width-relative:margin;mso-height-relative:margin" fillcolor="#548dd4" strokecolor="red" strokeweight="6pt">
            <v:fill color2="fill darken(118)" rotate="t" angle="-45" method="linear sigma" focus="-50%" type="gradient"/>
            <v:stroke linestyle="thickBetweenThin"/>
            <v:textbox style="mso-fit-shape-to-text:t" inset="2mm,2mm">
              <w:txbxContent>
                <w:p w:rsidR="00510B95" w:rsidRPr="00510B95" w:rsidRDefault="00510B95" w:rsidP="00510B95">
                  <w:pPr>
                    <w:jc w:val="center"/>
                    <w:rPr>
                      <w:b/>
                      <w:color w:val="FFFFFF"/>
                      <w:sz w:val="32"/>
                      <w:szCs w:val="32"/>
                    </w:rPr>
                  </w:pPr>
                  <w:r w:rsidRPr="00510B95">
                    <w:rPr>
                      <w:b/>
                      <w:color w:val="FFFFFF"/>
                      <w:sz w:val="32"/>
                      <w:szCs w:val="32"/>
                    </w:rPr>
                    <w:t>Néhány „síparadicsom” adata:</w:t>
                  </w:r>
                </w:p>
              </w:txbxContent>
            </v:textbox>
          </v:shape>
        </w:pict>
      </w:r>
    </w:p>
    <w:p w:rsidR="00510B95" w:rsidRDefault="00510B95" w:rsidP="0015385F"/>
    <w:p w:rsidR="00510B95" w:rsidRDefault="00510B95" w:rsidP="0015385F"/>
    <w:p w:rsidR="00510B95" w:rsidRDefault="00510B95" w:rsidP="0015385F"/>
    <w:p w:rsidR="00510B95" w:rsidRDefault="00510B95" w:rsidP="0015385F"/>
    <w:p w:rsidR="00510B95" w:rsidRDefault="00510B95" w:rsidP="0015385F"/>
    <w:tbl>
      <w:tblPr>
        <w:tblStyle w:val="Rcsostblzat"/>
        <w:tblW w:w="0" w:type="auto"/>
        <w:tblBorders>
          <w:top w:val="thickThinSmallGap" w:sz="24" w:space="0" w:color="548DD4" w:themeColor="text2" w:themeTint="99"/>
          <w:left w:val="thickThinSmallGap" w:sz="24" w:space="0" w:color="548DD4" w:themeColor="text2" w:themeTint="99"/>
          <w:bottom w:val="thinThickSmallGap" w:sz="24" w:space="0" w:color="548DD4" w:themeColor="text2" w:themeTint="99"/>
          <w:right w:val="thinThickSmallGap" w:sz="24" w:space="0" w:color="548DD4" w:themeColor="text2" w:themeTint="99"/>
          <w:insideH w:val="dashed" w:sz="4" w:space="0" w:color="548DD4" w:themeColor="text2" w:themeTint="99"/>
          <w:insideV w:val="dashed" w:sz="4" w:space="0" w:color="548DD4" w:themeColor="text2" w:themeTint="99"/>
        </w:tblBorders>
        <w:tblLook w:val="04A0"/>
      </w:tblPr>
      <w:tblGrid>
        <w:gridCol w:w="2161"/>
        <w:gridCol w:w="2161"/>
        <w:gridCol w:w="2161"/>
        <w:gridCol w:w="2161"/>
      </w:tblGrid>
      <w:tr w:rsidR="0013253F" w:rsidRPr="0013253F" w:rsidTr="0013253F">
        <w:trPr>
          <w:trHeight w:val="567"/>
        </w:trPr>
        <w:tc>
          <w:tcPr>
            <w:tcW w:w="2161" w:type="dxa"/>
            <w:tcBorders>
              <w:top w:val="thickThinSmallGap" w:sz="24" w:space="0" w:color="548DD4" w:themeColor="text2" w:themeTint="99"/>
              <w:bottom w:val="dashed" w:sz="4" w:space="0" w:color="548DD4" w:themeColor="text2" w:themeTint="99"/>
            </w:tcBorders>
            <w:shd w:val="clear" w:color="auto" w:fill="00B0F0"/>
            <w:vAlign w:val="center"/>
          </w:tcPr>
          <w:p w:rsidR="0013253F" w:rsidRPr="0013253F" w:rsidRDefault="0013253F" w:rsidP="0013253F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13253F">
              <w:rPr>
                <w:b/>
                <w:color w:val="FFFF00"/>
                <w:sz w:val="28"/>
                <w:szCs w:val="28"/>
              </w:rPr>
              <w:t>Hely</w:t>
            </w:r>
          </w:p>
        </w:tc>
        <w:tc>
          <w:tcPr>
            <w:tcW w:w="2161" w:type="dxa"/>
            <w:tcBorders>
              <w:top w:val="thickThinSmallGap" w:sz="24" w:space="0" w:color="548DD4" w:themeColor="text2" w:themeTint="99"/>
              <w:bottom w:val="dashed" w:sz="4" w:space="0" w:color="548DD4" w:themeColor="text2" w:themeTint="99"/>
            </w:tcBorders>
            <w:shd w:val="clear" w:color="auto" w:fill="00B0F0"/>
            <w:vAlign w:val="center"/>
          </w:tcPr>
          <w:p w:rsidR="0013253F" w:rsidRPr="0013253F" w:rsidRDefault="0013253F" w:rsidP="0013253F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13253F">
              <w:rPr>
                <w:b/>
                <w:color w:val="FFFF00"/>
                <w:sz w:val="28"/>
                <w:szCs w:val="28"/>
              </w:rPr>
              <w:t>Ország</w:t>
            </w:r>
          </w:p>
        </w:tc>
        <w:tc>
          <w:tcPr>
            <w:tcW w:w="2161" w:type="dxa"/>
            <w:tcBorders>
              <w:top w:val="thickThinSmallGap" w:sz="24" w:space="0" w:color="548DD4" w:themeColor="text2" w:themeTint="99"/>
              <w:bottom w:val="dashed" w:sz="4" w:space="0" w:color="548DD4" w:themeColor="text2" w:themeTint="99"/>
            </w:tcBorders>
            <w:shd w:val="clear" w:color="auto" w:fill="00B0F0"/>
            <w:vAlign w:val="center"/>
          </w:tcPr>
          <w:p w:rsidR="0013253F" w:rsidRPr="0013253F" w:rsidRDefault="0013253F" w:rsidP="0013253F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13253F">
              <w:rPr>
                <w:b/>
                <w:color w:val="FFFF00"/>
                <w:sz w:val="28"/>
                <w:szCs w:val="28"/>
              </w:rPr>
              <w:t>Hóágyúzott</w:t>
            </w:r>
          </w:p>
        </w:tc>
        <w:tc>
          <w:tcPr>
            <w:tcW w:w="2161" w:type="dxa"/>
            <w:tcBorders>
              <w:top w:val="thickThinSmallGap" w:sz="24" w:space="0" w:color="548DD4" w:themeColor="text2" w:themeTint="99"/>
              <w:bottom w:val="dashed" w:sz="4" w:space="0" w:color="548DD4" w:themeColor="text2" w:themeTint="99"/>
            </w:tcBorders>
            <w:shd w:val="clear" w:color="auto" w:fill="00B0F0"/>
            <w:vAlign w:val="center"/>
          </w:tcPr>
          <w:p w:rsidR="0013253F" w:rsidRPr="0013253F" w:rsidRDefault="0013253F" w:rsidP="0013253F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13253F">
              <w:rPr>
                <w:b/>
                <w:color w:val="FFFF00"/>
                <w:sz w:val="28"/>
                <w:szCs w:val="28"/>
              </w:rPr>
              <w:t>Hó</w:t>
            </w:r>
          </w:p>
        </w:tc>
      </w:tr>
      <w:tr w:rsidR="0013253F" w:rsidTr="0013253F">
        <w:trPr>
          <w:trHeight w:val="567"/>
        </w:trPr>
        <w:tc>
          <w:tcPr>
            <w:tcW w:w="2161" w:type="dxa"/>
            <w:tcBorders>
              <w:top w:val="dashed" w:sz="4" w:space="0" w:color="548DD4" w:themeColor="text2" w:themeTint="99"/>
            </w:tcBorders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proofErr w:type="spellStart"/>
            <w:r w:rsidRPr="0013253F">
              <w:rPr>
                <w:color w:val="00B0F0"/>
                <w:sz w:val="24"/>
              </w:rPr>
              <w:t>Annaberg</w:t>
            </w:r>
            <w:proofErr w:type="spellEnd"/>
          </w:p>
        </w:tc>
        <w:tc>
          <w:tcPr>
            <w:tcW w:w="2161" w:type="dxa"/>
            <w:tcBorders>
              <w:top w:val="dashed" w:sz="4" w:space="0" w:color="548DD4" w:themeColor="text2" w:themeTint="99"/>
            </w:tcBorders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Ausztria</w:t>
            </w:r>
          </w:p>
        </w:tc>
        <w:tc>
          <w:tcPr>
            <w:tcW w:w="2161" w:type="dxa"/>
            <w:tcBorders>
              <w:top w:val="dashed" w:sz="4" w:space="0" w:color="548DD4" w:themeColor="text2" w:themeTint="99"/>
            </w:tcBorders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X</w:t>
            </w:r>
          </w:p>
        </w:tc>
        <w:tc>
          <w:tcPr>
            <w:tcW w:w="2161" w:type="dxa"/>
            <w:tcBorders>
              <w:top w:val="dashed" w:sz="4" w:space="0" w:color="548DD4" w:themeColor="text2" w:themeTint="99"/>
            </w:tcBorders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80-125 cm</w:t>
            </w:r>
          </w:p>
        </w:tc>
      </w:tr>
      <w:tr w:rsidR="0013253F" w:rsidTr="0013253F">
        <w:trPr>
          <w:trHeight w:val="567"/>
        </w:trPr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Bánkút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Magyarország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3-10 cm</w:t>
            </w:r>
          </w:p>
        </w:tc>
      </w:tr>
      <w:tr w:rsidR="0013253F" w:rsidTr="0013253F">
        <w:trPr>
          <w:trHeight w:val="567"/>
        </w:trPr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Eplény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Magyarország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X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30- 80 cm</w:t>
            </w:r>
          </w:p>
        </w:tc>
      </w:tr>
      <w:tr w:rsidR="0013253F" w:rsidTr="0013253F">
        <w:trPr>
          <w:trHeight w:val="567"/>
        </w:trPr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proofErr w:type="spellStart"/>
            <w:r w:rsidRPr="0013253F">
              <w:rPr>
                <w:color w:val="00B0F0"/>
                <w:sz w:val="24"/>
              </w:rPr>
              <w:t>Murau</w:t>
            </w:r>
            <w:proofErr w:type="spellEnd"/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Ausztria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X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50-80 cm</w:t>
            </w:r>
          </w:p>
        </w:tc>
      </w:tr>
      <w:tr w:rsidR="0013253F" w:rsidTr="0013253F">
        <w:trPr>
          <w:trHeight w:val="567"/>
        </w:trPr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Nagyvillám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Magyarország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X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5-30 cm</w:t>
            </w:r>
          </w:p>
        </w:tc>
      </w:tr>
      <w:tr w:rsidR="0013253F" w:rsidTr="0013253F">
        <w:trPr>
          <w:trHeight w:val="567"/>
        </w:trPr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Semmering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Ausztria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X</w:t>
            </w:r>
          </w:p>
        </w:tc>
        <w:tc>
          <w:tcPr>
            <w:tcW w:w="2161" w:type="dxa"/>
            <w:vAlign w:val="center"/>
          </w:tcPr>
          <w:p w:rsidR="0013253F" w:rsidRPr="0013253F" w:rsidRDefault="0013253F" w:rsidP="0013253F">
            <w:pPr>
              <w:jc w:val="center"/>
              <w:rPr>
                <w:color w:val="00B0F0"/>
                <w:sz w:val="24"/>
              </w:rPr>
            </w:pPr>
            <w:r w:rsidRPr="0013253F">
              <w:rPr>
                <w:color w:val="00B0F0"/>
                <w:sz w:val="24"/>
              </w:rPr>
              <w:t>90-120 cm</w:t>
            </w:r>
          </w:p>
        </w:tc>
      </w:tr>
    </w:tbl>
    <w:p w:rsidR="00510B95" w:rsidRDefault="00510B95" w:rsidP="0013253F">
      <w:pPr>
        <w:jc w:val="center"/>
      </w:pPr>
    </w:p>
    <w:p w:rsidR="00510B95" w:rsidRDefault="00510B95" w:rsidP="0015385F"/>
    <w:p w:rsidR="0015385F" w:rsidRPr="0013253F" w:rsidRDefault="0015385F" w:rsidP="0013253F">
      <w:pPr>
        <w:spacing w:after="360"/>
        <w:rPr>
          <w:b/>
          <w:sz w:val="40"/>
          <w:szCs w:val="40"/>
        </w:rPr>
      </w:pPr>
      <w:r w:rsidRPr="0013253F">
        <w:rPr>
          <w:b/>
          <w:sz w:val="40"/>
          <w:szCs w:val="40"/>
        </w:rPr>
        <w:t>Mielőtt nekivágnánk a lejtőknek, fogadjuk meg a következő tanácsokat!</w:t>
      </w:r>
    </w:p>
    <w:p w:rsidR="0015385F" w:rsidRPr="0013253F" w:rsidRDefault="0015385F" w:rsidP="0013253F">
      <w:pPr>
        <w:numPr>
          <w:ilvl w:val="0"/>
          <w:numId w:val="2"/>
        </w:numPr>
        <w:rPr>
          <w:sz w:val="24"/>
        </w:rPr>
      </w:pPr>
      <w:r w:rsidRPr="0013253F">
        <w:rPr>
          <w:sz w:val="24"/>
        </w:rPr>
        <w:t>A kötést lehetőleg szakemberrel állítassuk be.</w:t>
      </w:r>
    </w:p>
    <w:p w:rsidR="0015385F" w:rsidRPr="0013253F" w:rsidRDefault="0015385F" w:rsidP="0013253F">
      <w:pPr>
        <w:numPr>
          <w:ilvl w:val="0"/>
          <w:numId w:val="2"/>
        </w:numPr>
        <w:rPr>
          <w:sz w:val="24"/>
        </w:rPr>
      </w:pPr>
      <w:r w:rsidRPr="0013253F">
        <w:rPr>
          <w:sz w:val="24"/>
        </w:rPr>
        <w:t>A hegyekben lassan szoktassuk magunkat a magassághoz.</w:t>
      </w:r>
    </w:p>
    <w:p w:rsidR="0015385F" w:rsidRPr="0013253F" w:rsidRDefault="0013253F" w:rsidP="0013253F">
      <w:pPr>
        <w:numPr>
          <w:ilvl w:val="0"/>
          <w:numId w:val="2"/>
        </w:num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2810510</wp:posOffset>
            </wp:positionH>
            <wp:positionV relativeFrom="paragraph">
              <wp:posOffset>179705</wp:posOffset>
            </wp:positionV>
            <wp:extent cx="2472690" cy="1648460"/>
            <wp:effectExtent l="19050" t="0" r="3810" b="0"/>
            <wp:wrapSquare wrapText="bothSides"/>
            <wp:docPr id="7" name="Kép 7" descr="s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6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385F" w:rsidRPr="0013253F">
        <w:rPr>
          <w:sz w:val="24"/>
        </w:rPr>
        <w:t>Síelés előtt mindenképpen melegítsük be. A húzó- és nyújtógyakorlatok gondoskodnak izmaink megfelelő oxigénellátásáról, és javítják teljesítményünket.</w:t>
      </w:r>
    </w:p>
    <w:p w:rsidR="0015385F" w:rsidRPr="0013253F" w:rsidRDefault="0015385F" w:rsidP="0013253F">
      <w:pPr>
        <w:numPr>
          <w:ilvl w:val="0"/>
          <w:numId w:val="2"/>
        </w:numPr>
        <w:rPr>
          <w:sz w:val="24"/>
        </w:rPr>
      </w:pPr>
      <w:r w:rsidRPr="0013253F">
        <w:rPr>
          <w:sz w:val="24"/>
        </w:rPr>
        <w:t xml:space="preserve">Ha lesiklás közben </w:t>
      </w:r>
      <w:proofErr w:type="spellStart"/>
      <w:r w:rsidRPr="0013253F">
        <w:rPr>
          <w:sz w:val="24"/>
        </w:rPr>
        <w:t>edzetlenségünk</w:t>
      </w:r>
      <w:proofErr w:type="spellEnd"/>
      <w:r w:rsidRPr="0013253F">
        <w:rPr>
          <w:sz w:val="24"/>
        </w:rPr>
        <w:t xml:space="preserve"> miatt légszomjat érzünk, és izmaink begörcsölnek, inkább álljunk félre egy kicsit.</w:t>
      </w:r>
    </w:p>
    <w:p w:rsidR="0015385F" w:rsidRPr="0013253F" w:rsidRDefault="0015385F" w:rsidP="0013253F">
      <w:pPr>
        <w:numPr>
          <w:ilvl w:val="0"/>
          <w:numId w:val="2"/>
        </w:numPr>
        <w:rPr>
          <w:sz w:val="24"/>
        </w:rPr>
      </w:pPr>
      <w:r w:rsidRPr="0013253F">
        <w:rPr>
          <w:sz w:val="24"/>
        </w:rPr>
        <w:t>Sebességünket mindig a tudásunknak megfelelően válasszuk meg.</w:t>
      </w:r>
    </w:p>
    <w:p w:rsidR="0015385F" w:rsidRDefault="0015385F"/>
    <w:sectPr w:rsidR="0015385F" w:rsidSect="0013253F">
      <w:type w:val="continuous"/>
      <w:pgSz w:w="11907" w:h="16840"/>
      <w:pgMar w:top="992" w:right="1418" w:bottom="1418" w:left="1418" w:header="709" w:footer="709" w:gutter="567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DDB" w:rsidRDefault="00C03DDB" w:rsidP="00C03DDB">
      <w:r>
        <w:separator/>
      </w:r>
    </w:p>
  </w:endnote>
  <w:endnote w:type="continuationSeparator" w:id="0">
    <w:p w:rsidR="00C03DDB" w:rsidRDefault="00C03DDB" w:rsidP="00C03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DDB" w:rsidRDefault="00C03DDB" w:rsidP="00C03DDB">
      <w:r>
        <w:separator/>
      </w:r>
    </w:p>
  </w:footnote>
  <w:footnote w:type="continuationSeparator" w:id="0">
    <w:p w:rsidR="00C03DDB" w:rsidRDefault="00C03DDB" w:rsidP="00C03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DDB" w:rsidRDefault="00CB5824" w:rsidP="00CB5824">
    <w:pPr>
      <w:pStyle w:val="lfej"/>
    </w:pPr>
    <w:r>
      <w:rPr>
        <w:noProof/>
      </w:rPr>
      <w:t>Gyakorlás</w:t>
    </w:r>
    <w:r>
      <w:rPr>
        <w:noProof/>
      </w:rPr>
      <w:tab/>
    </w:r>
    <w:r>
      <w:rPr>
        <w:noProof/>
      </w:rPr>
      <w:tab/>
      <w:t>Név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0.5pt;height:324pt" o:bullet="t">
        <v:imagedata r:id="rId1" o:title="silec"/>
      </v:shape>
    </w:pict>
  </w:numPicBullet>
  <w:numPicBullet w:numPicBulletId="1">
    <w:pict>
      <v:shape id="_x0000_i1027" type="#_x0000_t75" style="width:212.25pt;height:255pt" o:bullet="t">
        <v:imagedata r:id="rId2" o:title="sielo_hoember"/>
      </v:shape>
    </w:pict>
  </w:numPicBullet>
  <w:abstractNum w:abstractNumId="0">
    <w:nsid w:val="248004CC"/>
    <w:multiLevelType w:val="hybridMultilevel"/>
    <w:tmpl w:val="78D05E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94212"/>
    <w:multiLevelType w:val="hybridMultilevel"/>
    <w:tmpl w:val="BCF476CA"/>
    <w:lvl w:ilvl="0" w:tplc="12B295E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5385F"/>
    <w:rsid w:val="0013253F"/>
    <w:rsid w:val="0015385F"/>
    <w:rsid w:val="00510B95"/>
    <w:rsid w:val="00B93D18"/>
    <w:rsid w:val="00C03DDB"/>
    <w:rsid w:val="00CA0A3A"/>
    <w:rsid w:val="00CB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93D18"/>
    <w:pPr>
      <w:autoSpaceDE w:val="0"/>
      <w:autoSpaceDN w:val="0"/>
    </w:pPr>
    <w:rPr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03DD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03DDB"/>
    <w:rPr>
      <w:szCs w:val="24"/>
    </w:rPr>
  </w:style>
  <w:style w:type="paragraph" w:styleId="llb">
    <w:name w:val="footer"/>
    <w:basedOn w:val="Norml"/>
    <w:link w:val="llbChar"/>
    <w:rsid w:val="00C03DD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03DDB"/>
    <w:rPr>
      <w:szCs w:val="24"/>
    </w:rPr>
  </w:style>
  <w:style w:type="paragraph" w:styleId="Buborkszveg">
    <w:name w:val="Balloon Text"/>
    <w:basedOn w:val="Norml"/>
    <w:link w:val="BuborkszvegChar"/>
    <w:rsid w:val="00510B9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510B95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132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Melegítsük be</vt:lpstr>
    </vt:vector>
  </TitlesOfParts>
  <Company>xx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Melegítsük be</dc:title>
  <dc:subject/>
  <dc:creator>xxx</dc:creator>
  <cp:keywords/>
  <dc:description/>
  <cp:lastModifiedBy>emberke</cp:lastModifiedBy>
  <cp:revision>3</cp:revision>
  <dcterms:created xsi:type="dcterms:W3CDTF">2012-01-15T09:37:00Z</dcterms:created>
  <dcterms:modified xsi:type="dcterms:W3CDTF">2014-01-07T06:07:00Z</dcterms:modified>
</cp:coreProperties>
</file>